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0A" w:rsidRDefault="00CE310A">
      <w:pPr>
        <w:adjustRightInd w:val="0"/>
        <w:snapToGrid w:val="0"/>
        <w:jc w:val="left"/>
        <w:rPr>
          <w:rFonts w:ascii="黑体" w:eastAsia="黑体" w:hAnsi="黑体"/>
          <w:b/>
          <w:color w:val="000000"/>
          <w:sz w:val="32"/>
          <w:szCs w:val="32"/>
        </w:rPr>
      </w:pPr>
      <w:bookmarkStart w:id="0" w:name="_GoBack"/>
      <w:bookmarkEnd w:id="0"/>
    </w:p>
    <w:p w:rsidR="00CE310A" w:rsidRDefault="005B622D">
      <w:pPr>
        <w:adjustRightInd w:val="0"/>
        <w:snapToGrid w:val="0"/>
        <w:ind w:firstLineChars="200" w:firstLine="643"/>
        <w:jc w:val="left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根据教育部文件要求，现启动高等教育质量监测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2025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年数据采集工作，有关贵部门的表格已整理如下，请于</w:t>
      </w:r>
      <w:r>
        <w:rPr>
          <w:rFonts w:ascii="黑体" w:eastAsia="黑体" w:hAnsi="黑体" w:hint="eastAsia"/>
          <w:b/>
          <w:color w:val="C00000"/>
          <w:sz w:val="32"/>
          <w:szCs w:val="32"/>
        </w:rPr>
        <w:t>2025</w:t>
      </w:r>
      <w:r>
        <w:rPr>
          <w:rFonts w:ascii="黑体" w:eastAsia="黑体" w:hAnsi="黑体" w:hint="eastAsia"/>
          <w:b/>
          <w:color w:val="C00000"/>
          <w:sz w:val="32"/>
          <w:szCs w:val="32"/>
        </w:rPr>
        <w:t>年</w:t>
      </w:r>
      <w:r>
        <w:rPr>
          <w:rFonts w:ascii="黑体" w:eastAsia="黑体" w:hAnsi="黑体" w:hint="eastAsia"/>
          <w:b/>
          <w:color w:val="C00000"/>
          <w:sz w:val="32"/>
          <w:szCs w:val="32"/>
        </w:rPr>
        <w:t>12</w:t>
      </w:r>
      <w:r>
        <w:rPr>
          <w:rFonts w:ascii="黑体" w:eastAsia="黑体" w:hAnsi="黑体" w:hint="eastAsia"/>
          <w:b/>
          <w:color w:val="C00000"/>
          <w:sz w:val="32"/>
          <w:szCs w:val="32"/>
        </w:rPr>
        <w:t>月</w:t>
      </w:r>
      <w:r w:rsidR="00F511B7">
        <w:rPr>
          <w:rFonts w:ascii="黑体" w:eastAsia="黑体" w:hAnsi="黑体" w:hint="eastAsia"/>
          <w:b/>
          <w:color w:val="C00000"/>
          <w:sz w:val="32"/>
          <w:szCs w:val="32"/>
        </w:rPr>
        <w:t>16</w:t>
      </w:r>
      <w:r>
        <w:rPr>
          <w:rFonts w:ascii="黑体" w:eastAsia="黑体" w:hAnsi="黑体" w:hint="eastAsia"/>
          <w:b/>
          <w:color w:val="C00000"/>
          <w:sz w:val="32"/>
          <w:szCs w:val="32"/>
        </w:rPr>
        <w:t>日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前填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写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完成并交给教学质量监控与评估中心</w:t>
      </w:r>
      <w:r w:rsidR="00F511B7">
        <w:rPr>
          <w:rFonts w:ascii="黑体" w:eastAsia="黑体" w:hAnsi="黑体" w:hint="eastAsia"/>
          <w:b/>
          <w:color w:val="000000"/>
          <w:sz w:val="32"/>
          <w:szCs w:val="32"/>
        </w:rPr>
        <w:t>邹老师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，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联系电话：</w:t>
      </w:r>
      <w:r w:rsidR="00F511B7">
        <w:rPr>
          <w:rFonts w:ascii="黑体" w:eastAsia="黑体" w:hAnsi="黑体" w:hint="eastAsia"/>
          <w:b/>
          <w:color w:val="000000"/>
          <w:sz w:val="32"/>
          <w:szCs w:val="32"/>
        </w:rPr>
        <w:t>020-39352383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，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谢谢！</w:t>
      </w:r>
    </w:p>
    <w:p w:rsidR="00CE310A" w:rsidRDefault="00CE310A"/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数据采集时间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分为“时点”“学年”和“自然年”三类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30"/>
          <w:szCs w:val="30"/>
        </w:rPr>
        <w:t>“时点”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除有特别说明外，截至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2025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12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31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日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，如在校生数、教职工数、占地面积、固定资产总值等指标为统计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“时点”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数。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30"/>
          <w:szCs w:val="30"/>
        </w:rPr>
        <w:t>“学年”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为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 xml:space="preserve"> 2024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9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日至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 xml:space="preserve"> 2025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8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31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日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，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30"/>
          <w:szCs w:val="30"/>
        </w:rPr>
        <w:t>如教学信息按“学年”统计汇总数。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</w:t>
      </w:r>
      <w:r>
        <w:rPr>
          <w:rFonts w:asciiTheme="minorEastAsia" w:eastAsiaTheme="minorEastAsia" w:hAnsiTheme="minorEastAsia" w:cstheme="minorEastAsia" w:hint="eastAsia"/>
          <w:b/>
          <w:color w:val="C00000"/>
          <w:sz w:val="30"/>
          <w:szCs w:val="30"/>
        </w:rPr>
        <w:t>“自然年”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为每年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日至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12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31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日，本次所有涉及“自然年”的数据表均需采集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2024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年和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2025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30"/>
          <w:szCs w:val="30"/>
        </w:rPr>
        <w:t>年两个年度，并在系统中按年度设两个数据表分别采集。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如财务、科研信息按“自然年”统计汇总数。</w:t>
      </w:r>
    </w:p>
    <w:p w:rsidR="00CE310A" w:rsidRDefault="00CE310A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数据填写补充说明：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）涉及日期的数据，不写“年”、“月”，如：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2025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9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月写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2024-09(YYYY-MM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）；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2025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年写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2025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YYYY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）；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）涉及百分比的数据，不写“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%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”，如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30%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，则只填写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30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；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）排名：用阿拉伯数字，如：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、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2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、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3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；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）单位号单位名称、专业代码专业名称、校内专业代码校内专业名称、教师工号姓名、学生学号姓名、实验场所代码实验场所名称、开课号课程号课程名，请从相关基础表中复制粘贴，务必保持一致；</w:t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）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EXCEL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填报技巧：对于“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000100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”、“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000001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”、“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01010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”等以“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0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”开头且全为数字的编码，先将单元格格式设置为“文本”，使显示的内容与输入内容保持一致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,</w:t>
      </w:r>
      <w:r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>再输入编码。</w:t>
      </w:r>
      <w:r w:rsidR="00C3067A">
        <w:rPr>
          <w:rFonts w:asciiTheme="minorEastAsia" w:eastAsiaTheme="minorEastAsia" w:hAnsiTheme="minorEastAsia" w:cstheme="minorEastAsia" w:hint="eastAsia"/>
          <w:bCs/>
          <w:sz w:val="30"/>
          <w:szCs w:val="30"/>
        </w:rPr>
        <w:t xml:space="preserve">  </w:t>
      </w:r>
    </w:p>
    <w:p w:rsidR="00CE310A" w:rsidRDefault="00CE310A" w:rsidP="001B59E9">
      <w:pPr>
        <w:rPr>
          <w:rFonts w:asciiTheme="minorEastAsia" w:eastAsiaTheme="minorEastAsia" w:hAnsiTheme="minorEastAsia" w:cstheme="minorEastAsia"/>
          <w:bCs/>
          <w:sz w:val="30"/>
          <w:szCs w:val="30"/>
        </w:rPr>
        <w:sectPr w:rsidR="00CE310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noProof/>
          <w:sz w:val="30"/>
          <w:szCs w:val="30"/>
        </w:rPr>
        <w:lastRenderedPageBreak/>
        <w:drawing>
          <wp:inline distT="0" distB="0" distL="114300" distR="114300">
            <wp:extent cx="5400040" cy="1996440"/>
            <wp:effectExtent l="0" t="0" r="635" b="3810"/>
            <wp:docPr id="1" name="图片 1" descr="bbc1b6f96933f666ea82d60b191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c1b6f96933f666ea82d60b1911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noProof/>
          <w:sz w:val="30"/>
          <w:szCs w:val="30"/>
        </w:rPr>
        <w:drawing>
          <wp:inline distT="0" distB="0" distL="114300" distR="114300">
            <wp:extent cx="5400040" cy="923290"/>
            <wp:effectExtent l="0" t="0" r="635" b="635"/>
            <wp:docPr id="2" name="图片 2" descr="a324dfc34cf2a1be010b1d598ed0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24dfc34cf2a1be010b1d598ed0b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0A" w:rsidRDefault="00CE310A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CE310A" w:rsidRDefault="005B622D">
      <w:pPr>
        <w:adjustRightInd w:val="0"/>
        <w:snapToGrid w:val="0"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Cs/>
          <w:noProof/>
          <w:sz w:val="30"/>
          <w:szCs w:val="30"/>
        </w:rPr>
        <w:drawing>
          <wp:inline distT="0" distB="0" distL="114300" distR="114300">
            <wp:extent cx="5400040" cy="1644015"/>
            <wp:effectExtent l="0" t="0" r="635" b="3810"/>
            <wp:docPr id="3" name="图片 3" descr="502d7b789840fd135bf63d76e28c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2d7b789840fd135bf63d76e28cd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10A" w:rsidSect="00CE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2D" w:rsidRDefault="005B622D" w:rsidP="00C3067A">
      <w:r>
        <w:separator/>
      </w:r>
    </w:p>
  </w:endnote>
  <w:endnote w:type="continuationSeparator" w:id="1">
    <w:p w:rsidR="005B622D" w:rsidRDefault="005B622D" w:rsidP="00C3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2D" w:rsidRDefault="005B622D" w:rsidP="00C3067A">
      <w:r>
        <w:separator/>
      </w:r>
    </w:p>
  </w:footnote>
  <w:footnote w:type="continuationSeparator" w:id="1">
    <w:p w:rsidR="005B622D" w:rsidRDefault="005B622D" w:rsidP="00C30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E310A"/>
    <w:rsid w:val="001B59E9"/>
    <w:rsid w:val="005B622D"/>
    <w:rsid w:val="00920374"/>
    <w:rsid w:val="00C3067A"/>
    <w:rsid w:val="00CE310A"/>
    <w:rsid w:val="00F511B7"/>
    <w:rsid w:val="00F730D0"/>
    <w:rsid w:val="09434CDD"/>
    <w:rsid w:val="0AFA5870"/>
    <w:rsid w:val="11C44C64"/>
    <w:rsid w:val="14B44CE1"/>
    <w:rsid w:val="15F31839"/>
    <w:rsid w:val="19232435"/>
    <w:rsid w:val="1BC25F36"/>
    <w:rsid w:val="1E933BB9"/>
    <w:rsid w:val="224C47AB"/>
    <w:rsid w:val="24C50845"/>
    <w:rsid w:val="322C1F03"/>
    <w:rsid w:val="36ED1EEB"/>
    <w:rsid w:val="3C0108A5"/>
    <w:rsid w:val="3CE753A4"/>
    <w:rsid w:val="3FDD2A8F"/>
    <w:rsid w:val="48D0770E"/>
    <w:rsid w:val="4E5130FF"/>
    <w:rsid w:val="4F204746"/>
    <w:rsid w:val="5991071A"/>
    <w:rsid w:val="608508AD"/>
    <w:rsid w:val="653A7EB8"/>
    <w:rsid w:val="65792AB5"/>
    <w:rsid w:val="6DDA2238"/>
    <w:rsid w:val="6FC4793D"/>
    <w:rsid w:val="7E49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10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E3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CE310A"/>
    <w:rPr>
      <w:color w:val="0000FF"/>
      <w:u w:val="single"/>
    </w:rPr>
  </w:style>
  <w:style w:type="paragraph" w:styleId="a5">
    <w:name w:val="header"/>
    <w:basedOn w:val="a"/>
    <w:link w:val="Char"/>
    <w:rsid w:val="00C3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067A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C3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067A"/>
    <w:rPr>
      <w:rFonts w:ascii="Calibri" w:hAnsi="Calibri" w:cs="黑体"/>
      <w:kern w:val="2"/>
      <w:sz w:val="18"/>
      <w:szCs w:val="18"/>
    </w:rPr>
  </w:style>
  <w:style w:type="paragraph" w:styleId="a7">
    <w:name w:val="Balloon Text"/>
    <w:basedOn w:val="a"/>
    <w:link w:val="Char1"/>
    <w:rsid w:val="00C3067A"/>
    <w:rPr>
      <w:sz w:val="18"/>
      <w:szCs w:val="18"/>
    </w:rPr>
  </w:style>
  <w:style w:type="character" w:customStyle="1" w:styleId="Char1">
    <w:name w:val="批注框文本 Char"/>
    <w:basedOn w:val="a0"/>
    <w:link w:val="a7"/>
    <w:rsid w:val="00C3067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19164</dc:creator>
  <cp:lastModifiedBy>Lenovo</cp:lastModifiedBy>
  <cp:revision>2</cp:revision>
  <dcterms:created xsi:type="dcterms:W3CDTF">2025-12-11T06:34:00Z</dcterms:created>
  <dcterms:modified xsi:type="dcterms:W3CDTF">2025-12-11T06:34:00Z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eyJoZGlkIjoiY2EwOTNhNGRmMzVlMjBhMzhiYTJkMmQ4N2VkMjhlMDMiLCJ1c2VySWQiOiI2MzQyNjI2NDgifQ==</vt:lpwstr>
  </property>
  <property fmtid="{D5CDD505-2E9C-101B-9397-08002B2CF9AE}" pid="4" name="ICV">
    <vt:lpwstr>2EF1EAD78A4246EBB7B0B38935DF65C0_12</vt:lpwstr>
  </property>
</Properties>
</file>